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F1" w:rsidRPr="006B5EDA" w:rsidRDefault="00ED4AF1" w:rsidP="00ED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4AF1" w:rsidRPr="006B5EDA" w:rsidRDefault="00ED4AF1" w:rsidP="00ED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D4AF1" w:rsidRPr="006B5EDA" w:rsidRDefault="00ED4AF1" w:rsidP="00ED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ED4AF1" w:rsidRPr="006B5EDA" w:rsidRDefault="00ED4AF1" w:rsidP="00ED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«Гидрологический комплекс</w:t>
      </w:r>
    </w:p>
    <w:p w:rsidR="00ED4AF1" w:rsidRPr="006B5EDA" w:rsidRDefault="00ED4AF1" w:rsidP="00ED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ФНЦ агроэкологии РАН имени Н.Ф. Кулика»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1" w:rsidRPr="006B5EDA" w:rsidRDefault="00ED4AF1" w:rsidP="00ED4A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AF1" w:rsidRPr="006B5EDA" w:rsidRDefault="00ED4AF1" w:rsidP="00ED4A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5E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Состав оборудования уникальной научной установки </w:t>
      </w:r>
    </w:p>
    <w:p w:rsidR="00ED4AF1" w:rsidRPr="006B5EDA" w:rsidRDefault="00ED4AF1" w:rsidP="00ED4A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5EDA">
        <w:rPr>
          <w:rFonts w:ascii="Times New Roman" w:hAnsi="Times New Roman" w:cs="Times New Roman"/>
          <w:b/>
          <w:spacing w:val="-2"/>
          <w:sz w:val="28"/>
          <w:szCs w:val="28"/>
        </w:rPr>
        <w:t>«Гидрологический комплекс ФНЦ агроэкологии РАН имени Н.Ф. Кулика»</w:t>
      </w:r>
    </w:p>
    <w:p w:rsidR="00ED4AF1" w:rsidRPr="006B5EDA" w:rsidRDefault="00ED4AF1" w:rsidP="00ED4AF1">
      <w:pPr>
        <w:widowControl w:val="0"/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D4AF1" w:rsidRPr="006B5EDA" w:rsidRDefault="00ED4AF1" w:rsidP="00ED4A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5EDA">
        <w:rPr>
          <w:rFonts w:ascii="Times New Roman" w:hAnsi="Times New Roman" w:cs="Times New Roman"/>
          <w:b/>
          <w:spacing w:val="-2"/>
          <w:sz w:val="28"/>
          <w:szCs w:val="28"/>
        </w:rPr>
        <w:t>Лизиметры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5EDA">
        <w:rPr>
          <w:rFonts w:ascii="Times New Roman" w:hAnsi="Times New Roman" w:cs="Times New Roman"/>
          <w:spacing w:val="-2"/>
          <w:sz w:val="28"/>
          <w:szCs w:val="28"/>
        </w:rPr>
        <w:t>Лизиметры представляют собой металлические ёмкости объёмом 20,5 куб. м. Длина лизиметров 3,6 м, ширина 1,75 м. Дно лизиметра имеет уклон на глубине от 3 до 3,5 м. В нижней части имеется выпуск для слива воды. Имеется галерея, где проводится слив и измерение фильтрующейся воды. В состав Гидрологического комплекса входит 8 лизиметров.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B0E8F" wp14:editId="531A4BCE">
            <wp:extent cx="4912242" cy="3955312"/>
            <wp:effectExtent l="0" t="0" r="0" b="0"/>
            <wp:docPr id="2" name="Рисунок 2" descr="C:\Users\Пользователь\Downloads\Схема лизимет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wnloads\Схема лизиметр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21" cy="39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F1" w:rsidRPr="006B5EDA" w:rsidRDefault="00ED4AF1" w:rsidP="00ED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Рисунок 1 – Схема лизиметра а) вид сверху; б) разрез сбоку</w:t>
      </w:r>
    </w:p>
    <w:p w:rsidR="00ED4AF1" w:rsidRPr="006B5EDA" w:rsidRDefault="00ED4AF1" w:rsidP="00ED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>1 – субстрат лизиметра; 2 – толща грунта, в которой размещён лизиметр; 3 – др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 xml:space="preserve">наж (гравий); 4 – грунтовые воды,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отфильтровавшиеся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через зону аэрации; 5 –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в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довыпуск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в подземную галерею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6B5EDA">
        <w:rPr>
          <w:rFonts w:ascii="Times New Roman" w:hAnsi="Times New Roman" w:cs="Times New Roman"/>
          <w:spacing w:val="-2"/>
          <w:sz w:val="28"/>
          <w:szCs w:val="28"/>
        </w:rPr>
        <w:t xml:space="preserve">Шесть лизиметров (№ 1, № 2, № 5, № 6, № 7, № 8) загружены песком с </w:t>
      </w:r>
      <w:proofErr w:type="spellStart"/>
      <w:r w:rsidRPr="006B5EDA">
        <w:rPr>
          <w:rFonts w:ascii="Times New Roman" w:hAnsi="Times New Roman" w:cs="Times New Roman"/>
          <w:spacing w:val="-2"/>
          <w:sz w:val="28"/>
          <w:szCs w:val="28"/>
        </w:rPr>
        <w:t>Ерг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нинской</w:t>
      </w:r>
      <w:proofErr w:type="spellEnd"/>
      <w:r w:rsidRPr="006B5EDA">
        <w:rPr>
          <w:rFonts w:ascii="Times New Roman" w:hAnsi="Times New Roman" w:cs="Times New Roman"/>
          <w:spacing w:val="-2"/>
          <w:sz w:val="28"/>
          <w:szCs w:val="28"/>
        </w:rPr>
        <w:t xml:space="preserve"> возвышенности. Лизиметр № 4 загружен легким суглинком, лизиметр № 3 имеет супесчаный гранулометрический состав. Основные почвенно-гидрологические константы приведены в таблице 1. Лизиметр № 7 в июне 2005 г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да покрыт 20 см слоем гальки размером 3-5 см. Растительность на нём не появляе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 xml:space="preserve">ся. Лизиметр № 8 имеет песчаное наполнение. На </w:t>
      </w:r>
      <w:proofErr w:type="gramStart"/>
      <w:r w:rsidRPr="006B5EDA">
        <w:rPr>
          <w:rFonts w:ascii="Times New Roman" w:hAnsi="Times New Roman" w:cs="Times New Roman"/>
          <w:spacing w:val="-2"/>
          <w:sz w:val="28"/>
          <w:szCs w:val="28"/>
        </w:rPr>
        <w:t>нем</w:t>
      </w:r>
      <w:proofErr w:type="gramEnd"/>
      <w:r w:rsidRPr="006B5EDA">
        <w:rPr>
          <w:rFonts w:ascii="Times New Roman" w:hAnsi="Times New Roman" w:cs="Times New Roman"/>
          <w:spacing w:val="-2"/>
          <w:sz w:val="28"/>
          <w:szCs w:val="28"/>
        </w:rPr>
        <w:t xml:space="preserve"> на протяжении 30 лет прои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 xml:space="preserve">растает модель лесной культуры сосны обыкновенной. Все лизиметры имеют </w:t>
      </w:r>
      <w:proofErr w:type="spellStart"/>
      <w:r w:rsidRPr="006B5EDA">
        <w:rPr>
          <w:rFonts w:ascii="Times New Roman" w:hAnsi="Times New Roman" w:cs="Times New Roman"/>
          <w:spacing w:val="-2"/>
          <w:sz w:val="28"/>
          <w:szCs w:val="28"/>
        </w:rPr>
        <w:t>вод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B5EDA">
        <w:rPr>
          <w:rFonts w:ascii="Times New Roman" w:hAnsi="Times New Roman" w:cs="Times New Roman"/>
          <w:spacing w:val="-2"/>
          <w:sz w:val="28"/>
          <w:szCs w:val="28"/>
        </w:rPr>
        <w:t>выпуск</w:t>
      </w:r>
      <w:proofErr w:type="spellEnd"/>
      <w:r w:rsidRPr="006B5EDA">
        <w:rPr>
          <w:rFonts w:ascii="Times New Roman" w:hAnsi="Times New Roman" w:cs="Times New Roman"/>
          <w:spacing w:val="-2"/>
          <w:sz w:val="28"/>
          <w:szCs w:val="28"/>
        </w:rPr>
        <w:t xml:space="preserve"> в подземную галерею (рис. 2).</w:t>
      </w:r>
    </w:p>
    <w:p w:rsidR="00ED4AF1" w:rsidRPr="006B5EDA" w:rsidRDefault="00ED4AF1" w:rsidP="00ED4AF1">
      <w:pPr>
        <w:pStyle w:val="a7"/>
        <w:jc w:val="center"/>
        <w:rPr>
          <w:lang w:val="en-US"/>
        </w:rPr>
      </w:pPr>
      <w:r w:rsidRPr="006B5EDA">
        <w:rPr>
          <w:noProof/>
        </w:rPr>
        <w:drawing>
          <wp:inline distT="0" distB="0" distL="0" distR="0" wp14:anchorId="53126777" wp14:editId="04182BE8">
            <wp:extent cx="4400550" cy="4743450"/>
            <wp:effectExtent l="0" t="0" r="0" b="0"/>
            <wp:docPr id="10" name="Рисунок 10" descr="C:\Users\s.istomin\AppData\Local\Packages\Microsoft.Windows.Photos_8wekyb3d8bbwe\TempState\ShareServiceTempFolder\Без имени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.istomin\AppData\Local\Packages\Microsoft.Windows.Photos_8wekyb3d8bbwe\TempState\ShareServiceTempFolder\Без имени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F1" w:rsidRPr="006B5EDA" w:rsidRDefault="00ED4AF1" w:rsidP="00ED4AF1">
      <w:pPr>
        <w:pStyle w:val="a4"/>
        <w:tabs>
          <w:tab w:val="left" w:pos="5103"/>
        </w:tabs>
        <w:spacing w:after="0"/>
        <w:jc w:val="center"/>
        <w:rPr>
          <w:sz w:val="28"/>
          <w:szCs w:val="28"/>
        </w:rPr>
      </w:pPr>
      <w:r w:rsidRPr="006B5EDA">
        <w:rPr>
          <w:sz w:val="28"/>
          <w:szCs w:val="28"/>
        </w:rPr>
        <w:t>Рисунок 2 – Фото лизиметров и бетонных вегетационных площадок</w:t>
      </w:r>
    </w:p>
    <w:p w:rsidR="00ED4AF1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Pr="006B5EDA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  <w:lang w:val="ru-RU"/>
        </w:rPr>
      </w:pPr>
    </w:p>
    <w:p w:rsidR="00ED4AF1" w:rsidRPr="006B5EDA" w:rsidRDefault="00ED4AF1" w:rsidP="00ED4AF1">
      <w:pPr>
        <w:pStyle w:val="a4"/>
        <w:tabs>
          <w:tab w:val="left" w:pos="5103"/>
        </w:tabs>
        <w:spacing w:after="0"/>
        <w:rPr>
          <w:sz w:val="28"/>
          <w:szCs w:val="28"/>
        </w:rPr>
      </w:pPr>
      <w:r w:rsidRPr="006B5EDA">
        <w:rPr>
          <w:sz w:val="28"/>
          <w:szCs w:val="28"/>
        </w:rPr>
        <w:t>Таблица 1 – Водно-физические характеристики субстратов в лизиметрах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562"/>
        <w:gridCol w:w="1920"/>
        <w:gridCol w:w="1332"/>
        <w:gridCol w:w="1334"/>
        <w:gridCol w:w="1334"/>
        <w:gridCol w:w="1336"/>
      </w:tblGrid>
      <w:tr w:rsidR="00ED4AF1" w:rsidRPr="006B5EDA" w:rsidTr="00AE6E29">
        <w:trPr>
          <w:trHeight w:val="20"/>
        </w:trPr>
        <w:tc>
          <w:tcPr>
            <w:tcW w:w="393" w:type="pct"/>
            <w:vMerge w:val="restar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ind w:left="-94" w:right="-74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Лизи-метр</w:t>
            </w:r>
          </w:p>
        </w:tc>
        <w:tc>
          <w:tcPr>
            <w:tcW w:w="816" w:type="pct"/>
            <w:vMerge w:val="restar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Мощность слоя, м</w:t>
            </w:r>
          </w:p>
        </w:tc>
        <w:tc>
          <w:tcPr>
            <w:tcW w:w="1003" w:type="pct"/>
            <w:vMerge w:val="restar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Содержание ФГ, %</w:t>
            </w:r>
          </w:p>
        </w:tc>
        <w:tc>
          <w:tcPr>
            <w:tcW w:w="2788" w:type="pct"/>
            <w:gridSpan w:val="4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Гидрологическая константа, %</w: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vMerge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</w:p>
        </w:tc>
        <w:tc>
          <w:tcPr>
            <w:tcW w:w="816" w:type="pct"/>
            <w:vMerge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</w:p>
        </w:tc>
        <w:tc>
          <w:tcPr>
            <w:tcW w:w="1003" w:type="pct"/>
            <w:vMerge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</w:p>
        </w:tc>
        <w:tc>
          <w:tcPr>
            <w:tcW w:w="696" w:type="pc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МГ</w:t>
            </w:r>
          </w:p>
        </w:tc>
        <w:tc>
          <w:tcPr>
            <w:tcW w:w="697" w:type="pc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НВ</w:t>
            </w:r>
          </w:p>
        </w:tc>
        <w:tc>
          <w:tcPr>
            <w:tcW w:w="697" w:type="pc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ВЗ</w:t>
            </w:r>
          </w:p>
        </w:tc>
        <w:tc>
          <w:tcPr>
            <w:tcW w:w="697" w:type="pc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spacing w:val="-6"/>
              </w:rPr>
            </w:pPr>
            <w:r w:rsidRPr="006B5EDA">
              <w:rPr>
                <w:spacing w:val="-6"/>
              </w:rPr>
              <w:t>ДАВ</w: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0-2,4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1,0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0,4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5,0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0,6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4,4</w: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t>2</w:t>
            </w:r>
            <w:r w:rsidRPr="006B5EDA">
              <w:rPr>
                <w:lang w:val="ru-RU"/>
              </w:rPr>
              <w:t>, 7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0-1,0</w:t>
            </w:r>
          </w:p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1,0-2,2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7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6.75pt" o:ole="" fillcolor="window">
                  <v:imagedata r:id="rId8" o:title=""/>
                </v:shape>
                <o:OLEObject Type="Embed" ProgID="Equation.3" ShapeID="_x0000_i1025" DrawAspect="Content" ObjectID="_1770614117" r:id="rId9"/>
              </w:objec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900" w:dyaOrig="720">
                <v:shape id="_x0000_i1026" type="#_x0000_t75" style="width:45.75pt;height:36.75pt" o:ole="" fillcolor="window">
                  <v:imagedata r:id="rId10" o:title=""/>
                </v:shape>
                <o:OLEObject Type="Embed" ProgID="Equation.3" ShapeID="_x0000_i1026" DrawAspect="Content" ObjectID="_1770614118" r:id="rId11"/>
              </w:objec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780" w:dyaOrig="720">
                <v:shape id="_x0000_i1027" type="#_x0000_t75" style="width:39pt;height:36.75pt" o:ole="" fillcolor="window">
                  <v:imagedata r:id="rId12" o:title=""/>
                </v:shape>
                <o:OLEObject Type="Embed" ProgID="Equation.3" ShapeID="_x0000_i1027" DrawAspect="Content" ObjectID="_1770614119" r:id="rId13"/>
              </w:objec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780" w:dyaOrig="720">
                <v:shape id="_x0000_i1028" type="#_x0000_t75" style="width:39pt;height:36.75pt" o:ole="" fillcolor="window">
                  <v:imagedata r:id="rId14" o:title=""/>
                </v:shape>
                <o:OLEObject Type="Embed" ProgID="Equation.3" ShapeID="_x0000_i1028" DrawAspect="Content" ObjectID="_1770614120" r:id="rId15"/>
              </w:objec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800" w:dyaOrig="720">
                <v:shape id="_x0000_i1029" type="#_x0000_t75" style="width:39pt;height:36.75pt" o:ole="" fillcolor="window">
                  <v:imagedata r:id="rId16" o:title=""/>
                </v:shape>
                <o:OLEObject Type="Embed" ProgID="Equation.3" ShapeID="_x0000_i1029" DrawAspect="Content" ObjectID="_1770614121" r:id="rId17"/>
              </w:objec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3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0-2,1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17,0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2,65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11,0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4,0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7,0</w: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4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0-2,2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40,0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4,46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17,0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6,7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10,3</w: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5</w:t>
            </w:r>
          </w:p>
        </w:tc>
        <w:tc>
          <w:tcPr>
            <w:tcW w:w="816" w:type="pct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0-1,0</w:t>
            </w:r>
          </w:p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t>1,0-2,4</w:t>
            </w:r>
          </w:p>
        </w:tc>
        <w:tc>
          <w:tcPr>
            <w:tcW w:w="1003" w:type="pct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780" w:dyaOrig="720">
                <v:shape id="_x0000_i1030" type="#_x0000_t75" style="width:39pt;height:36.75pt" o:ole="" fillcolor="window">
                  <v:imagedata r:id="rId18" o:title=""/>
                </v:shape>
                <o:OLEObject Type="Embed" ProgID="Equation.3" ShapeID="_x0000_i1030" DrawAspect="Content" ObjectID="_1770614122" r:id="rId19"/>
              </w:object>
            </w:r>
          </w:p>
        </w:tc>
        <w:tc>
          <w:tcPr>
            <w:tcW w:w="696" w:type="pct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900" w:dyaOrig="720">
                <v:shape id="_x0000_i1031" type="#_x0000_t75" style="width:45.75pt;height:36.75pt" o:ole="" fillcolor="window">
                  <v:imagedata r:id="rId20" o:title=""/>
                </v:shape>
                <o:OLEObject Type="Embed" ProgID="Equation.3" ShapeID="_x0000_i1031" DrawAspect="Content" ObjectID="_1770614123" r:id="rId21"/>
              </w:object>
            </w:r>
          </w:p>
        </w:tc>
        <w:tc>
          <w:tcPr>
            <w:tcW w:w="697" w:type="pct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780" w:dyaOrig="720">
                <v:shape id="_x0000_i1032" type="#_x0000_t75" style="width:39pt;height:36.75pt" o:ole="" fillcolor="window">
                  <v:imagedata r:id="rId22" o:title=""/>
                </v:shape>
                <o:OLEObject Type="Embed" ProgID="Equation.3" ShapeID="_x0000_i1032" DrawAspect="Content" ObjectID="_1770614124" r:id="rId23"/>
              </w:object>
            </w:r>
          </w:p>
        </w:tc>
        <w:tc>
          <w:tcPr>
            <w:tcW w:w="697" w:type="pct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780" w:dyaOrig="720">
                <v:shape id="_x0000_i1033" type="#_x0000_t75" style="width:39pt;height:36.75pt" o:ole="" fillcolor="window">
                  <v:imagedata r:id="rId24" o:title=""/>
                </v:shape>
                <o:OLEObject Type="Embed" ProgID="Equation.3" ShapeID="_x0000_i1033" DrawAspect="Content" ObjectID="_1770614125" r:id="rId25"/>
              </w:object>
            </w:r>
          </w:p>
        </w:tc>
        <w:tc>
          <w:tcPr>
            <w:tcW w:w="697" w:type="pct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</w:pPr>
            <w:r w:rsidRPr="006B5EDA">
              <w:rPr>
                <w:position w:val="-30"/>
              </w:rPr>
              <w:object w:dxaOrig="800" w:dyaOrig="720">
                <v:shape id="_x0000_i1034" type="#_x0000_t75" style="width:39pt;height:36.75pt" o:ole="" fillcolor="window">
                  <v:imagedata r:id="rId26" o:title=""/>
                </v:shape>
                <o:OLEObject Type="Embed" ProgID="Equation.3" ShapeID="_x0000_i1034" DrawAspect="Content" ObjectID="_1770614126" r:id="rId27"/>
              </w:object>
            </w:r>
          </w:p>
        </w:tc>
      </w:tr>
      <w:tr w:rsidR="00ED4AF1" w:rsidRPr="006B5EDA" w:rsidTr="00AE6E29">
        <w:trPr>
          <w:trHeight w:val="20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6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0-2,4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5,0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0,65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6,0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1,0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ED4AF1" w:rsidRPr="006B5EDA" w:rsidRDefault="00ED4AF1" w:rsidP="00AE6E29">
            <w:pPr>
              <w:pStyle w:val="a4"/>
              <w:spacing w:after="0" w:line="276" w:lineRule="auto"/>
              <w:jc w:val="center"/>
              <w:rPr>
                <w:lang w:val="ru-RU"/>
              </w:rPr>
            </w:pPr>
            <w:r w:rsidRPr="006B5EDA">
              <w:rPr>
                <w:lang w:val="ru-RU"/>
              </w:rPr>
              <w:t>5,0</w:t>
            </w:r>
          </w:p>
        </w:tc>
      </w:tr>
    </w:tbl>
    <w:p w:rsidR="00ED4AF1" w:rsidRPr="006B5EDA" w:rsidRDefault="00ED4AF1" w:rsidP="00ED4AF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>Сокращения в таблице: МГ –</w:t>
      </w:r>
      <w:r w:rsidRPr="006B5EDA">
        <w:t xml:space="preserve"> </w:t>
      </w:r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максимальная гигроскопичность; НВ – наименьшая влагоемкость; ВЗ – влажностью </w:t>
      </w:r>
      <w:proofErr w:type="spellStart"/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>завядания</w:t>
      </w:r>
      <w:proofErr w:type="spellEnd"/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>; ДАВ – диапазон активной влаги; ФГ – физической глины.</w:t>
      </w:r>
    </w:p>
    <w:p w:rsidR="00ED4AF1" w:rsidRPr="006B5EDA" w:rsidRDefault="00ED4AF1" w:rsidP="00ED4AF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Вегетационные площадки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На территории расположены 18 вегетационных площадок, ограниченные между собой бетонным ограждением и моделирующие различные типы пастби</w:t>
      </w:r>
      <w:r w:rsidRPr="006B5EDA">
        <w:rPr>
          <w:rFonts w:ascii="Times New Roman" w:hAnsi="Times New Roman" w:cs="Times New Roman"/>
          <w:sz w:val="28"/>
          <w:szCs w:val="28"/>
        </w:rPr>
        <w:t>щ</w:t>
      </w:r>
      <w:r w:rsidRPr="006B5EDA">
        <w:rPr>
          <w:rFonts w:ascii="Times New Roman" w:hAnsi="Times New Roman" w:cs="Times New Roman"/>
          <w:sz w:val="28"/>
          <w:szCs w:val="28"/>
        </w:rPr>
        <w:t>ных угодий.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Автоматизированный измерительный комплекс; модификация </w:t>
      </w:r>
      <w:proofErr w:type="spellStart"/>
      <w:r w:rsidRPr="006B5EDA">
        <w:rPr>
          <w:rFonts w:ascii="Times New Roman" w:hAnsi="Times New Roman" w:cs="Times New Roman"/>
          <w:b/>
          <w:sz w:val="28"/>
          <w:szCs w:val="28"/>
        </w:rPr>
        <w:t>Carbon-info</w:t>
      </w:r>
      <w:proofErr w:type="spellEnd"/>
    </w:p>
    <w:p w:rsidR="00ED4AF1" w:rsidRPr="006B5EDA" w:rsidRDefault="00ED4AF1" w:rsidP="00ED4A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На территории УНУ установлен Автоматизированный измерительный ко</w:t>
      </w:r>
      <w:r w:rsidRPr="006B5EDA">
        <w:rPr>
          <w:rFonts w:ascii="Times New Roman" w:hAnsi="Times New Roman" w:cs="Times New Roman"/>
          <w:sz w:val="28"/>
          <w:szCs w:val="28"/>
        </w:rPr>
        <w:t>м</w:t>
      </w:r>
      <w:r w:rsidRPr="006B5EDA">
        <w:rPr>
          <w:rFonts w:ascii="Times New Roman" w:hAnsi="Times New Roman" w:cs="Times New Roman"/>
          <w:sz w:val="28"/>
          <w:szCs w:val="28"/>
        </w:rPr>
        <w:t xml:space="preserve">плекс; модификация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Carbon-info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, который состоит:</w:t>
      </w:r>
    </w:p>
    <w:p w:rsidR="00ED4AF1" w:rsidRPr="006B5EDA" w:rsidRDefault="00ED4AF1" w:rsidP="00ED4AF1">
      <w:pPr>
        <w:pStyle w:val="a3"/>
        <w:numPr>
          <w:ilvl w:val="0"/>
          <w:numId w:val="5"/>
        </w:numPr>
        <w:tabs>
          <w:tab w:val="left" w:pos="9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регистраторов грунтового стока – 8 </w:t>
      </w:r>
      <w:proofErr w:type="spellStart"/>
      <w:proofErr w:type="gramStart"/>
      <w:r w:rsidRPr="006B5ED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B5EDA">
        <w:rPr>
          <w:rFonts w:ascii="Times New Roman" w:hAnsi="Times New Roman" w:cs="Times New Roman"/>
          <w:sz w:val="28"/>
          <w:szCs w:val="28"/>
        </w:rPr>
        <w:t>;</w:t>
      </w:r>
    </w:p>
    <w:p w:rsidR="00ED4AF1" w:rsidRPr="006B5EDA" w:rsidRDefault="00ED4AF1" w:rsidP="00ED4AF1">
      <w:pPr>
        <w:pStyle w:val="a3"/>
        <w:numPr>
          <w:ilvl w:val="0"/>
          <w:numId w:val="5"/>
        </w:numPr>
        <w:tabs>
          <w:tab w:val="left" w:pos="9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уличных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осадкомеров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proofErr w:type="gramStart"/>
      <w:r w:rsidRPr="006B5ED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B5EDA">
        <w:rPr>
          <w:rFonts w:ascii="Times New Roman" w:hAnsi="Times New Roman" w:cs="Times New Roman"/>
          <w:sz w:val="28"/>
          <w:szCs w:val="28"/>
        </w:rPr>
        <w:t>;</w:t>
      </w:r>
    </w:p>
    <w:p w:rsidR="00ED4AF1" w:rsidRPr="006B5EDA" w:rsidRDefault="00ED4AF1" w:rsidP="00ED4AF1">
      <w:pPr>
        <w:pStyle w:val="a3"/>
        <w:numPr>
          <w:ilvl w:val="0"/>
          <w:numId w:val="5"/>
        </w:numPr>
        <w:tabs>
          <w:tab w:val="left" w:pos="9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датчиков влажности почвы – 30 ши;</w:t>
      </w:r>
    </w:p>
    <w:p w:rsidR="00ED4AF1" w:rsidRPr="006B5EDA" w:rsidRDefault="00ED4AF1" w:rsidP="00ED4AF1">
      <w:pPr>
        <w:pStyle w:val="a3"/>
        <w:numPr>
          <w:ilvl w:val="0"/>
          <w:numId w:val="5"/>
        </w:numPr>
        <w:tabs>
          <w:tab w:val="left" w:pos="9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датчика уровня грунтовых вод – 1 </w:t>
      </w:r>
      <w:proofErr w:type="spellStart"/>
      <w:proofErr w:type="gramStart"/>
      <w:r w:rsidRPr="006B5ED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B5EDA">
        <w:rPr>
          <w:rFonts w:ascii="Times New Roman" w:hAnsi="Times New Roman" w:cs="Times New Roman"/>
          <w:sz w:val="28"/>
          <w:szCs w:val="28"/>
        </w:rPr>
        <w:t>;</w:t>
      </w:r>
    </w:p>
    <w:p w:rsidR="00ED4AF1" w:rsidRPr="006B5EDA" w:rsidRDefault="00ED4AF1" w:rsidP="00ED4AF1">
      <w:pPr>
        <w:pStyle w:val="a3"/>
        <w:numPr>
          <w:ilvl w:val="0"/>
          <w:numId w:val="5"/>
        </w:numPr>
        <w:tabs>
          <w:tab w:val="left" w:pos="9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персонального компьютера – 1 шт.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5EDA">
        <w:rPr>
          <w:rFonts w:ascii="Times New Roman" w:hAnsi="Times New Roman" w:cs="Times New Roman"/>
          <w:b/>
          <w:sz w:val="28"/>
          <w:szCs w:val="28"/>
        </w:rPr>
        <w:t xml:space="preserve">Регистраторы грунтового стока </w:t>
      </w:r>
      <w:r w:rsidRPr="006B5EDA">
        <w:rPr>
          <w:rFonts w:ascii="Times New Roman" w:hAnsi="Times New Roman" w:cs="Times New Roman"/>
          <w:sz w:val="28"/>
          <w:szCs w:val="28"/>
        </w:rPr>
        <w:t xml:space="preserve">установлены в подземной галереи возле каждого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водовыпуска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и</w:t>
      </w:r>
      <w:r w:rsidRPr="006B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собирают воду с 8 лизиметров (Рис. 3А)</w:t>
      </w:r>
      <w:r w:rsidRPr="006B5EDA">
        <w:rPr>
          <w:rFonts w:ascii="Times New Roman" w:hAnsi="Times New Roman"/>
          <w:spacing w:val="-4"/>
          <w:sz w:val="28"/>
          <w:szCs w:val="28"/>
        </w:rPr>
        <w:t xml:space="preserve"> в воронку (отве</w:t>
      </w:r>
      <w:r w:rsidRPr="006B5EDA">
        <w:rPr>
          <w:rFonts w:ascii="Times New Roman" w:hAnsi="Times New Roman"/>
          <w:spacing w:val="-4"/>
          <w:sz w:val="28"/>
          <w:szCs w:val="28"/>
        </w:rPr>
        <w:t>р</w:t>
      </w:r>
      <w:r w:rsidRPr="006B5EDA">
        <w:rPr>
          <w:rFonts w:ascii="Times New Roman" w:hAnsi="Times New Roman"/>
          <w:spacing w:val="-4"/>
          <w:sz w:val="28"/>
          <w:szCs w:val="28"/>
        </w:rPr>
        <w:t xml:space="preserve">стие 50 кв. см), которая направляет воду в </w:t>
      </w:r>
      <w:r w:rsidRPr="006B5EDA">
        <w:rPr>
          <w:rFonts w:ascii="Times New Roman" w:hAnsi="Times New Roman"/>
          <w:spacing w:val="-4"/>
          <w:sz w:val="28"/>
          <w:szCs w:val="28"/>
        </w:rPr>
        <w:lastRenderedPageBreak/>
        <w:t>самоопрокидывающуюся емкость, уде</w:t>
      </w:r>
      <w:r w:rsidRPr="006B5EDA">
        <w:rPr>
          <w:rFonts w:ascii="Times New Roman" w:hAnsi="Times New Roman"/>
          <w:spacing w:val="-4"/>
          <w:sz w:val="28"/>
          <w:szCs w:val="28"/>
        </w:rPr>
        <w:t>р</w:t>
      </w:r>
      <w:r w:rsidRPr="006B5EDA">
        <w:rPr>
          <w:rFonts w:ascii="Times New Roman" w:hAnsi="Times New Roman"/>
          <w:spacing w:val="-4"/>
          <w:sz w:val="28"/>
          <w:szCs w:val="28"/>
        </w:rPr>
        <w:t>живаемую на месте твердым ферритовым магнитом.</w:t>
      </w:r>
      <w:proofErr w:type="gramEnd"/>
      <w:r w:rsidRPr="006B5EDA">
        <w:rPr>
          <w:rFonts w:ascii="Times New Roman" w:hAnsi="Times New Roman"/>
          <w:spacing w:val="-4"/>
          <w:sz w:val="28"/>
          <w:szCs w:val="28"/>
        </w:rPr>
        <w:t xml:space="preserve"> Магнит всегда оказывает дост</w:t>
      </w:r>
      <w:r w:rsidRPr="006B5EDA">
        <w:rPr>
          <w:rFonts w:ascii="Times New Roman" w:hAnsi="Times New Roman"/>
          <w:spacing w:val="-4"/>
          <w:sz w:val="28"/>
          <w:szCs w:val="28"/>
        </w:rPr>
        <w:t>а</w:t>
      </w:r>
      <w:r w:rsidRPr="006B5EDA">
        <w:rPr>
          <w:rFonts w:ascii="Times New Roman" w:hAnsi="Times New Roman"/>
          <w:spacing w:val="-4"/>
          <w:sz w:val="28"/>
          <w:szCs w:val="28"/>
        </w:rPr>
        <w:t xml:space="preserve">точное сопротивление, чтобы позволить мерной емкости слиться одним быстрым движением (менее 300 </w:t>
      </w:r>
      <w:proofErr w:type="spellStart"/>
      <w:r w:rsidRPr="006B5EDA">
        <w:rPr>
          <w:rFonts w:ascii="Times New Roman" w:hAnsi="Times New Roman"/>
          <w:spacing w:val="-4"/>
          <w:sz w:val="28"/>
          <w:szCs w:val="28"/>
        </w:rPr>
        <w:t>мс</w:t>
      </w:r>
      <w:proofErr w:type="spellEnd"/>
      <w:r w:rsidRPr="006B5EDA">
        <w:rPr>
          <w:rFonts w:ascii="Times New Roman" w:hAnsi="Times New Roman"/>
          <w:spacing w:val="-4"/>
          <w:sz w:val="28"/>
          <w:szCs w:val="28"/>
        </w:rPr>
        <w:t>), а затем вернуться в нормальное положение и быть гот</w:t>
      </w:r>
      <w:r w:rsidRPr="006B5EDA">
        <w:rPr>
          <w:rFonts w:ascii="Times New Roman" w:hAnsi="Times New Roman"/>
          <w:spacing w:val="-4"/>
          <w:sz w:val="28"/>
          <w:szCs w:val="28"/>
        </w:rPr>
        <w:t>о</w:t>
      </w:r>
      <w:r w:rsidRPr="006B5EDA">
        <w:rPr>
          <w:rFonts w:ascii="Times New Roman" w:hAnsi="Times New Roman"/>
          <w:spacing w:val="-4"/>
          <w:sz w:val="28"/>
          <w:szCs w:val="28"/>
        </w:rPr>
        <w:t>вым к сбору вод повторно.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5EDA">
        <w:rPr>
          <w:rFonts w:ascii="Times New Roman" w:hAnsi="Times New Roman" w:cs="Times New Roman"/>
          <w:spacing w:val="-6"/>
          <w:sz w:val="28"/>
          <w:szCs w:val="28"/>
        </w:rPr>
        <w:t>Данные с регистраторов грунтового стока передаются на компьютер, устано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ленный в здании гидрологического комплекса. Информация регистрируется, архив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руется и отображается в виде графиков, также присутствует возможность выгрузки данных.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25"/>
      </w:tblGrid>
      <w:tr w:rsidR="00ED4AF1" w:rsidRPr="006B5EDA" w:rsidTr="00AE6E29">
        <w:tc>
          <w:tcPr>
            <w:tcW w:w="5046" w:type="dxa"/>
          </w:tcPr>
          <w:p w:rsidR="00ED4AF1" w:rsidRPr="006B5EDA" w:rsidRDefault="00ED4AF1" w:rsidP="00AE6E29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5EDA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eastAsia="ru-RU"/>
              </w:rPr>
              <w:drawing>
                <wp:inline distT="0" distB="0" distL="0" distR="0" wp14:anchorId="5F613815" wp14:editId="2FB15645">
                  <wp:extent cx="3062377" cy="2743200"/>
                  <wp:effectExtent l="0" t="0" r="5080" b="0"/>
                  <wp:docPr id="1" name="Рисунок 1" descr="C:\Users\s.istomin\Desktop\УНУ\фото\Регистраторы грунтового сто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istomin\Desktop\УНУ\фото\Регистраторы грунтового сто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33" cy="274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ED4AF1" w:rsidRPr="006B5EDA" w:rsidRDefault="00ED4AF1" w:rsidP="00AE6E29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5EDA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eastAsia="ru-RU"/>
              </w:rPr>
              <w:drawing>
                <wp:inline distT="0" distB="0" distL="0" distR="0" wp14:anchorId="6BC733D7" wp14:editId="541CADB3">
                  <wp:extent cx="2424023" cy="2972123"/>
                  <wp:effectExtent l="0" t="0" r="0" b="0"/>
                  <wp:docPr id="9" name="Рисунок 9" descr="C:\Users\s.istomin\AppData\Local\Microsoft\Windows\INetCache\Content.Word\Осадкомер мелкий сх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istomin\AppData\Local\Microsoft\Windows\INetCache\Content.Word\Осадкомер мелкий сх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40" cy="297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AF1" w:rsidRPr="006B5EDA" w:rsidTr="00AE6E29">
        <w:tc>
          <w:tcPr>
            <w:tcW w:w="9571" w:type="dxa"/>
            <w:gridSpan w:val="2"/>
          </w:tcPr>
          <w:p w:rsidR="00ED4AF1" w:rsidRPr="006B5EDA" w:rsidRDefault="00ED4AF1" w:rsidP="00AE6E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eastAsia="ru-RU"/>
              </w:rPr>
            </w:pPr>
            <w:r w:rsidRPr="006B5EDA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eastAsia="ru-RU"/>
              </w:rPr>
              <w:t xml:space="preserve">Рисунок 3. Размещение регистраторов грунтового стока в подземной галерее </w:t>
            </w:r>
          </w:p>
        </w:tc>
      </w:tr>
      <w:tr w:rsidR="00ED4AF1" w:rsidRPr="006B5EDA" w:rsidTr="00AE6E29">
        <w:tc>
          <w:tcPr>
            <w:tcW w:w="5046" w:type="dxa"/>
          </w:tcPr>
          <w:p w:rsidR="00ED4AF1" w:rsidRPr="006B5EDA" w:rsidRDefault="00ED4AF1" w:rsidP="00AE6E2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5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А) Регистраторы грунтового стока</w:t>
            </w:r>
          </w:p>
        </w:tc>
        <w:tc>
          <w:tcPr>
            <w:tcW w:w="4525" w:type="dxa"/>
          </w:tcPr>
          <w:p w:rsidR="00ED4AF1" w:rsidRPr="006B5EDA" w:rsidRDefault="00ED4AF1" w:rsidP="00AE6E29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5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Б) Схема регистратора грунтового стока</w:t>
            </w:r>
          </w:p>
        </w:tc>
      </w:tr>
      <w:tr w:rsidR="00ED4AF1" w:rsidRPr="006B5EDA" w:rsidTr="00AE6E29">
        <w:tc>
          <w:tcPr>
            <w:tcW w:w="5046" w:type="dxa"/>
          </w:tcPr>
          <w:p w:rsidR="00ED4AF1" w:rsidRPr="006B5EDA" w:rsidRDefault="00ED4AF1" w:rsidP="00AE6E2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525" w:type="dxa"/>
          </w:tcPr>
          <w:p w:rsidR="00ED4AF1" w:rsidRPr="006B5EDA" w:rsidRDefault="00ED4AF1" w:rsidP="00AE6E29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Уличные </w:t>
      </w:r>
      <w:proofErr w:type="spellStart"/>
      <w:r w:rsidRPr="006B5EDA">
        <w:rPr>
          <w:rFonts w:ascii="Times New Roman" w:hAnsi="Times New Roman" w:cs="Times New Roman"/>
          <w:b/>
          <w:sz w:val="28"/>
          <w:szCs w:val="28"/>
        </w:rPr>
        <w:t>осадкомеры</w:t>
      </w:r>
      <w:proofErr w:type="spellEnd"/>
      <w:r w:rsidRPr="006B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6B5EDA">
        <w:rPr>
          <w:rFonts w:ascii="Times New Roman" w:hAnsi="Times New Roman" w:cs="Times New Roman"/>
          <w:spacing w:val="-6"/>
          <w:sz w:val="28"/>
          <w:szCs w:val="28"/>
          <w:lang w:val="en-US"/>
        </w:rPr>
        <w:t>Rain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6B5EDA">
        <w:rPr>
          <w:rFonts w:ascii="Times New Roman" w:hAnsi="Times New Roman" w:cs="Times New Roman"/>
          <w:spacing w:val="-6"/>
          <w:sz w:val="28"/>
          <w:szCs w:val="28"/>
          <w:lang w:val="en-US"/>
        </w:rPr>
        <w:t>O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spellStart"/>
      <w:r w:rsidRPr="006B5EDA">
        <w:rPr>
          <w:rFonts w:ascii="Times New Roman" w:hAnsi="Times New Roman" w:cs="Times New Roman"/>
          <w:spacing w:val="-6"/>
          <w:sz w:val="28"/>
          <w:szCs w:val="28"/>
          <w:lang w:val="en-US"/>
        </w:rPr>
        <w:t>Matic</w:t>
      </w:r>
      <w:proofErr w:type="spellEnd"/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EDA">
        <w:rPr>
          <w:rFonts w:ascii="Times New Roman" w:hAnsi="Times New Roman" w:cs="Times New Roman"/>
          <w:spacing w:val="-6"/>
          <w:sz w:val="28"/>
          <w:szCs w:val="28"/>
          <w:lang w:val="en-US"/>
        </w:rPr>
        <w:t>Meteorological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EDA">
        <w:rPr>
          <w:rFonts w:ascii="Times New Roman" w:hAnsi="Times New Roman" w:cs="Times New Roman"/>
          <w:spacing w:val="-6"/>
          <w:sz w:val="28"/>
          <w:szCs w:val="28"/>
          <w:lang w:val="en-US"/>
        </w:rPr>
        <w:t>Snow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&amp;</w:t>
      </w:r>
      <w:r w:rsidRPr="006B5EDA">
        <w:rPr>
          <w:rFonts w:ascii="Times New Roman" w:hAnsi="Times New Roman" w:cs="Times New Roman"/>
          <w:spacing w:val="-6"/>
          <w:sz w:val="28"/>
          <w:szCs w:val="28"/>
          <w:lang w:val="en-US"/>
        </w:rPr>
        <w:t>Rain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» осущест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ляют замеры </w:t>
      </w:r>
      <w:proofErr w:type="gramStart"/>
      <w:r w:rsidRPr="006B5EDA">
        <w:rPr>
          <w:rFonts w:ascii="Times New Roman" w:hAnsi="Times New Roman" w:cs="Times New Roman"/>
          <w:spacing w:val="-6"/>
          <w:sz w:val="28"/>
          <w:szCs w:val="28"/>
        </w:rPr>
        <w:t>осадков</w:t>
      </w:r>
      <w:proofErr w:type="gramEnd"/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как в тёплый, так и в холодный период гидрологического года (Рис. 4А). Измерение происходит с помощью нагреваемой медной воронки (отверстие 200 кв. см), </w:t>
      </w:r>
      <w:r w:rsidRPr="006B5EDA">
        <w:rPr>
          <w:rFonts w:ascii="Times New Roman" w:hAnsi="Times New Roman"/>
          <w:spacing w:val="-4"/>
          <w:sz w:val="28"/>
          <w:szCs w:val="28"/>
        </w:rPr>
        <w:t>которая направляет воду в самоопрокидывающуюся емкость, удержив</w:t>
      </w:r>
      <w:r w:rsidRPr="006B5EDA">
        <w:rPr>
          <w:rFonts w:ascii="Times New Roman" w:hAnsi="Times New Roman"/>
          <w:spacing w:val="-4"/>
          <w:sz w:val="28"/>
          <w:szCs w:val="28"/>
        </w:rPr>
        <w:t>а</w:t>
      </w:r>
      <w:r w:rsidRPr="006B5EDA">
        <w:rPr>
          <w:rFonts w:ascii="Times New Roman" w:hAnsi="Times New Roman"/>
          <w:spacing w:val="-4"/>
          <w:sz w:val="28"/>
          <w:szCs w:val="28"/>
        </w:rPr>
        <w:t>емую на месте твердым ферритовым магнитом. Магнит всегда оказывает достато</w:t>
      </w:r>
      <w:r w:rsidRPr="006B5EDA">
        <w:rPr>
          <w:rFonts w:ascii="Times New Roman" w:hAnsi="Times New Roman"/>
          <w:spacing w:val="-4"/>
          <w:sz w:val="28"/>
          <w:szCs w:val="28"/>
        </w:rPr>
        <w:t>ч</w:t>
      </w:r>
      <w:r w:rsidRPr="006B5EDA">
        <w:rPr>
          <w:rFonts w:ascii="Times New Roman" w:hAnsi="Times New Roman"/>
          <w:spacing w:val="-4"/>
          <w:sz w:val="28"/>
          <w:szCs w:val="28"/>
        </w:rPr>
        <w:t>ное сопротивление, чтобы позволить мерной емкости слиться одним быстрым дв</w:t>
      </w:r>
      <w:r w:rsidRPr="006B5EDA">
        <w:rPr>
          <w:rFonts w:ascii="Times New Roman" w:hAnsi="Times New Roman"/>
          <w:spacing w:val="-4"/>
          <w:sz w:val="28"/>
          <w:szCs w:val="28"/>
        </w:rPr>
        <w:t>и</w:t>
      </w:r>
      <w:r w:rsidRPr="006B5EDA">
        <w:rPr>
          <w:rFonts w:ascii="Times New Roman" w:hAnsi="Times New Roman"/>
          <w:spacing w:val="-4"/>
          <w:sz w:val="28"/>
          <w:szCs w:val="28"/>
        </w:rPr>
        <w:t xml:space="preserve">жением (менее </w:t>
      </w:r>
      <w:r w:rsidRPr="006B5EDA">
        <w:rPr>
          <w:rFonts w:ascii="Times New Roman" w:hAnsi="Times New Roman"/>
          <w:spacing w:val="-4"/>
          <w:sz w:val="28"/>
          <w:szCs w:val="28"/>
        </w:rPr>
        <w:lastRenderedPageBreak/>
        <w:t xml:space="preserve">300 </w:t>
      </w:r>
      <w:proofErr w:type="spellStart"/>
      <w:r w:rsidRPr="006B5EDA">
        <w:rPr>
          <w:rFonts w:ascii="Times New Roman" w:hAnsi="Times New Roman"/>
          <w:spacing w:val="-4"/>
          <w:sz w:val="28"/>
          <w:szCs w:val="28"/>
        </w:rPr>
        <w:t>мс</w:t>
      </w:r>
      <w:proofErr w:type="spellEnd"/>
      <w:r w:rsidRPr="006B5EDA">
        <w:rPr>
          <w:rFonts w:ascii="Times New Roman" w:hAnsi="Times New Roman"/>
          <w:spacing w:val="-4"/>
          <w:sz w:val="28"/>
          <w:szCs w:val="28"/>
        </w:rPr>
        <w:t>), а затем вернуться в нормальное положение и быть готовым к сбору вод повторно.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(Рис.4Б). 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Данные с </w:t>
      </w:r>
      <w:proofErr w:type="gramStart"/>
      <w:r w:rsidRPr="006B5EDA">
        <w:rPr>
          <w:rFonts w:ascii="Times New Roman" w:hAnsi="Times New Roman" w:cs="Times New Roman"/>
          <w:spacing w:val="-6"/>
          <w:sz w:val="28"/>
          <w:szCs w:val="28"/>
        </w:rPr>
        <w:t>уличных</w:t>
      </w:r>
      <w:proofErr w:type="gramEnd"/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B5EDA">
        <w:rPr>
          <w:rFonts w:ascii="Times New Roman" w:hAnsi="Times New Roman" w:cs="Times New Roman"/>
          <w:spacing w:val="-6"/>
          <w:sz w:val="28"/>
          <w:szCs w:val="28"/>
        </w:rPr>
        <w:t>осадкомеров</w:t>
      </w:r>
      <w:proofErr w:type="spellEnd"/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передаются на компьютер, установленный в здании гидрологического комплекса. Информация регистрируется, архивируется и отображается в виде графиков, также присутствует возможность выгрузки данных.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571"/>
      </w:tblGrid>
      <w:tr w:rsidR="00ED4AF1" w:rsidRPr="006B5EDA" w:rsidTr="00AE6E29">
        <w:tc>
          <w:tcPr>
            <w:tcW w:w="4571" w:type="dxa"/>
          </w:tcPr>
          <w:p w:rsidR="00ED4AF1" w:rsidRPr="006B5EDA" w:rsidRDefault="00ED4AF1" w:rsidP="00AE6E29">
            <w:r w:rsidRPr="006B5EDA">
              <w:rPr>
                <w:noProof/>
                <w:lang w:eastAsia="ru-RU"/>
              </w:rPr>
              <w:drawing>
                <wp:inline distT="0" distB="0" distL="0" distR="0" wp14:anchorId="46F09641" wp14:editId="16C116E1">
                  <wp:extent cx="3226279" cy="3157268"/>
                  <wp:effectExtent l="0" t="0" r="0" b="5080"/>
                  <wp:docPr id="5" name="Рисунок 5" descr="C:\Users\s.istomin\AppData\Local\Microsoft\Windows\INetCache\Content.Word\Осадкоме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.istomin\AppData\Local\Microsoft\Windows\INetCache\Content.Word\Осадкоме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989" cy="316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ED4AF1" w:rsidRPr="006B5EDA" w:rsidRDefault="00ED4AF1" w:rsidP="00AE6E29">
            <w:r w:rsidRPr="006B5EDA">
              <w:rPr>
                <w:noProof/>
                <w:lang w:eastAsia="ru-RU"/>
              </w:rPr>
              <w:drawing>
                <wp:inline distT="0" distB="0" distL="0" distR="0" wp14:anchorId="350AE4E0" wp14:editId="7DFB3AB7">
                  <wp:extent cx="2936733" cy="3312544"/>
                  <wp:effectExtent l="0" t="0" r="0" b="2540"/>
                  <wp:docPr id="4" name="Рисунок 4" descr="C:\Users\s.istomin\AppData\Local\Microsoft\Windows\INetCache\Content.Word\Осадкомер уличный сх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istomin\AppData\Local\Microsoft\Windows\INetCache\Content.Word\Осадкомер уличный сх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765" cy="331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AF1" w:rsidRPr="006B5EDA" w:rsidTr="00AE6E29">
        <w:tc>
          <w:tcPr>
            <w:tcW w:w="9571" w:type="dxa"/>
            <w:gridSpan w:val="2"/>
          </w:tcPr>
          <w:p w:rsidR="00ED4AF1" w:rsidRPr="006B5EDA" w:rsidRDefault="00ED4AF1" w:rsidP="00AE6E29">
            <w:pPr>
              <w:jc w:val="center"/>
              <w:rPr>
                <w:noProof/>
                <w:lang w:eastAsia="ru-RU"/>
              </w:rPr>
            </w:pPr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Рисунок 4. Размещение </w:t>
            </w:r>
            <w:proofErr w:type="spellStart"/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осадкомеров</w:t>
            </w:r>
            <w:proofErr w:type="spellEnd"/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территории </w:t>
            </w:r>
          </w:p>
        </w:tc>
      </w:tr>
      <w:tr w:rsidR="00ED4AF1" w:rsidRPr="006B5EDA" w:rsidTr="00AE6E29">
        <w:tc>
          <w:tcPr>
            <w:tcW w:w="4571" w:type="dxa"/>
          </w:tcPr>
          <w:p w:rsidR="00ED4AF1" w:rsidRPr="006B5EDA" w:rsidRDefault="00ED4AF1" w:rsidP="00AE6E29"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А) </w:t>
            </w:r>
            <w:proofErr w:type="spellStart"/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Осадкомеры</w:t>
            </w:r>
            <w:proofErr w:type="spellEnd"/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3 и 5 лизиметрах</w:t>
            </w:r>
          </w:p>
        </w:tc>
        <w:tc>
          <w:tcPr>
            <w:tcW w:w="5000" w:type="dxa"/>
          </w:tcPr>
          <w:p w:rsidR="00ED4AF1" w:rsidRPr="006B5EDA" w:rsidRDefault="00ED4AF1" w:rsidP="00AE6E29"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Б) Схема </w:t>
            </w:r>
            <w:proofErr w:type="spellStart"/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осадкомера</w:t>
            </w:r>
            <w:proofErr w:type="spellEnd"/>
          </w:p>
        </w:tc>
      </w:tr>
    </w:tbl>
    <w:p w:rsidR="00ED4AF1" w:rsidRPr="006B5EDA" w:rsidRDefault="00ED4AF1" w:rsidP="00ED4A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F1" w:rsidRPr="006B5EDA" w:rsidRDefault="00ED4AF1" w:rsidP="00ED4AF1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5E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Датчики влажности почвы </w:t>
      </w:r>
      <w:proofErr w:type="spellStart"/>
      <w:r w:rsidRPr="006B5EDA">
        <w:rPr>
          <w:rFonts w:ascii="Times New Roman" w:hAnsi="Times New Roman" w:cs="Times New Roman"/>
          <w:b/>
          <w:spacing w:val="-6"/>
          <w:sz w:val="28"/>
          <w:szCs w:val="28"/>
        </w:rPr>
        <w:t>WaterScout</w:t>
      </w:r>
      <w:proofErr w:type="spellEnd"/>
      <w:r w:rsidRPr="006B5E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SM 100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установлены на 3,4 и 5 лиз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метрах (Рис. 5А). В результате установки датчиков имеется возможность увидеть д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намику движения почвенной влаги в зоне аэрации в режиме </w:t>
      </w:r>
      <w:proofErr w:type="spellStart"/>
      <w:r w:rsidRPr="006B5EDA">
        <w:rPr>
          <w:rFonts w:ascii="Times New Roman" w:hAnsi="Times New Roman" w:cs="Times New Roman"/>
          <w:spacing w:val="-6"/>
          <w:sz w:val="28"/>
          <w:szCs w:val="28"/>
        </w:rPr>
        <w:t>Online</w:t>
      </w:r>
      <w:proofErr w:type="spellEnd"/>
      <w:r w:rsidRPr="006B5EDA">
        <w:rPr>
          <w:rFonts w:ascii="Times New Roman" w:hAnsi="Times New Roman" w:cs="Times New Roman"/>
          <w:spacing w:val="-6"/>
          <w:sz w:val="28"/>
          <w:szCs w:val="28"/>
        </w:rPr>
        <w:t>. Датчик состоит из двух электродов, которые действуют как конденсатор, а окружающая почва служит диэлектриком. Генератор с частотой 80 МГц возбуждает конденсатор, и сигнал, пр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порциональный диэлектрической проницаемости почвы, преобразуется в выходной сигнал. (Рис. 5Б).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285"/>
      </w:tblGrid>
      <w:tr w:rsidR="00ED4AF1" w:rsidRPr="006B5EDA" w:rsidTr="00AE6E29">
        <w:tc>
          <w:tcPr>
            <w:tcW w:w="4286" w:type="dxa"/>
          </w:tcPr>
          <w:p w:rsidR="00ED4AF1" w:rsidRPr="006B5EDA" w:rsidRDefault="00ED4AF1" w:rsidP="00AE6E29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5EDA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001DB1" wp14:editId="2D800683">
                  <wp:extent cx="3219450" cy="2371725"/>
                  <wp:effectExtent l="0" t="0" r="0" b="9525"/>
                  <wp:docPr id="6" name="Рисунок 6" descr="IMG_20231228_10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20231228_10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</w:tcPr>
          <w:p w:rsidR="00ED4AF1" w:rsidRPr="006B5EDA" w:rsidRDefault="00ED4AF1" w:rsidP="00AE6E29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5EDA">
              <w:rPr>
                <w:noProof/>
                <w:lang w:eastAsia="ru-RU"/>
              </w:rPr>
              <w:drawing>
                <wp:inline distT="0" distB="0" distL="0" distR="0" wp14:anchorId="00105349" wp14:editId="0D57B8CB">
                  <wp:extent cx="2553419" cy="24240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34" cy="242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F1" w:rsidRPr="006B5EDA" w:rsidRDefault="00ED4AF1" w:rsidP="00ED4A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Рисунок 5. Датчики влажности </w:t>
      </w:r>
    </w:p>
    <w:tbl>
      <w:tblPr>
        <w:tblStyle w:val="a6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10"/>
      </w:tblGrid>
      <w:tr w:rsidR="00ED4AF1" w:rsidRPr="006B5EDA" w:rsidTr="00AE6E29">
        <w:tc>
          <w:tcPr>
            <w:tcW w:w="5353" w:type="dxa"/>
          </w:tcPr>
          <w:p w:rsidR="00ED4AF1" w:rsidRPr="006B5EDA" w:rsidRDefault="00ED4AF1" w:rsidP="00AE6E2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А) Установка датчиков влажности почвы</w:t>
            </w:r>
          </w:p>
          <w:p w:rsidR="00ED4AF1" w:rsidRPr="006B5EDA" w:rsidRDefault="00ED4AF1" w:rsidP="00AE6E2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210" w:type="dxa"/>
          </w:tcPr>
          <w:p w:rsidR="00ED4AF1" w:rsidRPr="006B5EDA" w:rsidRDefault="00ED4AF1" w:rsidP="00AE6E2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5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Б) Датчик влажности почвы</w:t>
            </w:r>
          </w:p>
        </w:tc>
      </w:tr>
    </w:tbl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5EDA">
        <w:rPr>
          <w:rFonts w:ascii="Times New Roman" w:hAnsi="Times New Roman" w:cs="Times New Roman"/>
          <w:b/>
          <w:spacing w:val="-6"/>
          <w:sz w:val="28"/>
          <w:szCs w:val="28"/>
        </w:rPr>
        <w:t>Датчик уровня грунтовых вод ТУ-10/101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 для регистрации пул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сации уровня грунтовых вод на лизиметре №1, который является моделью пойменной речной растительности на песчаных почвах с урочища Лысая гора г. Волгоград. О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нова датчика – высокочувствительный </w:t>
      </w:r>
      <w:proofErr w:type="spellStart"/>
      <w:r w:rsidRPr="006B5EDA">
        <w:rPr>
          <w:rFonts w:ascii="Times New Roman" w:hAnsi="Times New Roman" w:cs="Times New Roman"/>
          <w:spacing w:val="-6"/>
          <w:sz w:val="28"/>
          <w:szCs w:val="28"/>
        </w:rPr>
        <w:t>пьезорезистивный</w:t>
      </w:r>
      <w:proofErr w:type="spellEnd"/>
      <w:r w:rsidRPr="006B5EDA">
        <w:rPr>
          <w:rFonts w:ascii="Times New Roman" w:hAnsi="Times New Roman" w:cs="Times New Roman"/>
          <w:spacing w:val="-6"/>
          <w:sz w:val="28"/>
          <w:szCs w:val="28"/>
        </w:rPr>
        <w:t xml:space="preserve"> кремниевый сенсор, осн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6B5EDA">
        <w:rPr>
          <w:rFonts w:ascii="Times New Roman" w:hAnsi="Times New Roman" w:cs="Times New Roman"/>
          <w:spacing w:val="-6"/>
          <w:sz w:val="28"/>
          <w:szCs w:val="28"/>
        </w:rPr>
        <w:t>ванный на MEMS-технологии. Данные передаются на компьютер, установленный в здании гидрологического комплекса. Информация регистрируется, архивируется и отображается в виде графиков, также присутствует возможность выгрузки данных.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Здание гидрологического комплекса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Двухэтажное здание гидрологического комплекса площадью 155,8 кв. м с подземной галереей.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 </w:t>
      </w:r>
      <w:r w:rsidRPr="006B5EDA">
        <w:rPr>
          <w:rFonts w:ascii="Times New Roman" w:hAnsi="Times New Roman" w:cs="Times New Roman"/>
          <w:b/>
          <w:sz w:val="28"/>
          <w:szCs w:val="28"/>
        </w:rPr>
        <w:t xml:space="preserve">Метеостанция </w:t>
      </w:r>
      <w:proofErr w:type="spellStart"/>
      <w:r w:rsidRPr="006B5EDA">
        <w:rPr>
          <w:rFonts w:ascii="Times New Roman" w:hAnsi="Times New Roman" w:cs="Times New Roman"/>
          <w:b/>
          <w:sz w:val="28"/>
          <w:szCs w:val="28"/>
        </w:rPr>
        <w:t>WatchDog</w:t>
      </w:r>
      <w:proofErr w:type="spellEnd"/>
      <w:r w:rsidRPr="006B5EDA">
        <w:rPr>
          <w:rFonts w:ascii="Times New Roman" w:hAnsi="Times New Roman" w:cs="Times New Roman"/>
          <w:b/>
          <w:sz w:val="28"/>
          <w:szCs w:val="28"/>
        </w:rPr>
        <w:t xml:space="preserve"> 2700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Метеостанция регистрирует и сохраняет данные по направлению и скорости ветра, температуре и влажности воздуха, количестве осадков, точке росы. Мете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 xml:space="preserve">станция может отображать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реальные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метеопоказания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на собственном дисплее или на экране компьютера. Загруженные в компьютер данные можно при помощи программы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SpecWare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изобразить в виде графиков, диаграмм, таблиц, выбрав интересующие параметры. Возможно создание различных типов отчетов, вкл</w:t>
      </w:r>
      <w:r w:rsidRPr="006B5EDA">
        <w:rPr>
          <w:rFonts w:ascii="Times New Roman" w:hAnsi="Times New Roman" w:cs="Times New Roman"/>
          <w:sz w:val="28"/>
          <w:szCs w:val="28"/>
        </w:rPr>
        <w:t>ю</w:t>
      </w:r>
      <w:r w:rsidRPr="006B5EDA">
        <w:rPr>
          <w:rFonts w:ascii="Times New Roman" w:hAnsi="Times New Roman" w:cs="Times New Roman"/>
          <w:sz w:val="28"/>
          <w:szCs w:val="28"/>
        </w:rPr>
        <w:t xml:space="preserve">чающих определенный набор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lastRenderedPageBreak/>
        <w:t>метеопоказателей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. При необходимости можно с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здать пользовательский отчет со специфическими настройками. В программе также возможен расчет метеопараметров с использованием лимитирующих пок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зателей или диапазона (Рис. 6).</w:t>
      </w:r>
      <w:r w:rsidRPr="006B5EDA">
        <w:rPr>
          <w:noProof/>
          <w:lang w:eastAsia="ru-RU"/>
        </w:rPr>
        <w:t xml:space="preserve"> 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noProof/>
          <w:sz w:val="24"/>
          <w:szCs w:val="24"/>
          <w:lang w:eastAsia="ru-RU"/>
        </w:rPr>
        <w:drawing>
          <wp:inline distT="0" distB="0" distL="0" distR="0" wp14:anchorId="52B9200E" wp14:editId="230F8D15">
            <wp:extent cx="3324225" cy="2914650"/>
            <wp:effectExtent l="19050" t="0" r="9525" b="0"/>
            <wp:docPr id="7" name="Рисунок 7" descr="https://images.by.prom.st/83515971_w640_h640_spectrum_3340wd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by.prom.st/83515971_w640_h640_spectrum_3340wd2_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F1" w:rsidRPr="006B5EDA" w:rsidRDefault="00ED4AF1" w:rsidP="00ED4A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Рисунок 6 – Метеостанция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WatchDog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2700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Состав измеряемых параметров с указанием единиц, точности и дискретн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сти измерений: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i/>
          <w:sz w:val="28"/>
          <w:szCs w:val="28"/>
        </w:rPr>
        <w:t>Рабочий диапазон: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скорость ветра: 0 ... 241 км/час;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направление ветра: 0 ... 360;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температура воздуха: -32 ... +100 °C;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точка росы: -73… +60°C;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относительная влажность: 10 ... 100 %;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количество осадков: 6,5 см / за период измерения.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EDA">
        <w:rPr>
          <w:rFonts w:ascii="Times New Roman" w:hAnsi="Times New Roman" w:cs="Times New Roman"/>
          <w:i/>
          <w:sz w:val="28"/>
          <w:szCs w:val="28"/>
        </w:rPr>
        <w:t>Разрешение: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скорость ветра: 1 км/ч;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направление ветра: 2;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температура воздуха: 0,1 °C;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точка росы: 0,1°C;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относительная влажность: 0,1 %;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количество осадков: 0,01 см.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EDA">
        <w:rPr>
          <w:rFonts w:ascii="Times New Roman" w:hAnsi="Times New Roman" w:cs="Times New Roman"/>
          <w:i/>
          <w:sz w:val="28"/>
          <w:szCs w:val="28"/>
        </w:rPr>
        <w:t>Точность: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скорость ветра: ±5 %;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направление ветра: ±4;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температура воздуха: ±0,6 °C;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точка росы: ±2°C;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относительная влажность: ±3 %;</w:t>
      </w:r>
    </w:p>
    <w:p w:rsidR="00ED4AF1" w:rsidRPr="006B5EDA" w:rsidRDefault="00ED4AF1" w:rsidP="00ED4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DA">
        <w:rPr>
          <w:rFonts w:ascii="Times New Roman" w:eastAsia="Times New Roman" w:hAnsi="Times New Roman" w:cs="Times New Roman"/>
          <w:sz w:val="28"/>
          <w:szCs w:val="28"/>
        </w:rPr>
        <w:t>количество осадков: ±2 %.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Лаборатория контроля качества воды (НКВ-12)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Лаборатория является оригинальным комплектным изделием, производ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мым по ТУ 4321-100-82182574-12 и защищенным патентом РФ №96342.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EDA">
        <w:rPr>
          <w:rFonts w:ascii="Times New Roman" w:hAnsi="Times New Roman" w:cs="Times New Roman"/>
          <w:i/>
          <w:sz w:val="28"/>
          <w:szCs w:val="28"/>
        </w:rPr>
        <w:t>Назначение и область применения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Лаборатория – вариант полевых лабораторий, характеризующийся макс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мальной универсальностью: она применима в передвижных (мобильных) и пол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вых условиях, а также в настольном варианте в условиях лабораторий. Позволяет выполнять анализ воды, общая минерализация которой не превышает 3 г/л. Лаб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ратория предназначена для определения показателей качества воды и состава водных вытяжек.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EDA">
        <w:rPr>
          <w:rFonts w:ascii="Times New Roman" w:hAnsi="Times New Roman" w:cs="Times New Roman"/>
          <w:i/>
          <w:sz w:val="28"/>
          <w:szCs w:val="28"/>
        </w:rPr>
        <w:t>Комплект лаборатории: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аналитические реактивы и растворы: индикаторы, реагенты, буферные смеси, соли, капсулированные химикаты, ГСО и др.;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средства дозировки реагентов и растворов: откалиброванные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экспресс-пипетки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>, цилиндр мерный, шприц-дозатор и др.;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материалы и принадлежности: бумага индикаторная и фильтровальная, линейка, ножницы, специальный штатив для пипеток/пробирок, комплект кр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пежа, трубка гибкая, шпатель;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посуда стеклянная: пробирки, склянки колориметрические, стаканчики, цилиндр для определения прозрачности и др.;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>приборы: фотоколориметр типа «Экотест-2020», кондуктометр типа DIST-2, рН-метр типа рН-410, термометр;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контрольные шкалы и образцы для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визуального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колориметрирования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, в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 xml:space="preserve">дозащищенные: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«Алюминий», «Аммоний», «Железо», «Кислород», «Мутность и прозрачность» (образец шрифта), «Нитрат-ион», «Нитрит-ион», «рН», «Общая жесткость», «Фосфат-ион», «Фторид-ион», «Цветность»;</w:t>
      </w:r>
      <w:proofErr w:type="gramEnd"/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средства защиты: защитные перчатки, защитные очки;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жесткий и разборный ящик-укладка для хранения, переноски и эксплуат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ции;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документация: иллюстрированное руководство по применению с метод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ками выполнения анализов, паспорт на лабораторию, паспорта на приборы, опись комплектности укладки, сертификаты, указатели расположения элементов.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EDA">
        <w:rPr>
          <w:rFonts w:ascii="Times New Roman" w:hAnsi="Times New Roman"/>
          <w:color w:val="000000" w:themeColor="text1"/>
          <w:sz w:val="28"/>
          <w:szCs w:val="28"/>
        </w:rPr>
        <w:t>Лаборатория позволяет выполнять анализ по следующим показателям (та</w:t>
      </w:r>
      <w:r w:rsidRPr="006B5ED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B5EDA">
        <w:rPr>
          <w:rFonts w:ascii="Times New Roman" w:hAnsi="Times New Roman"/>
          <w:color w:val="000000" w:themeColor="text1"/>
          <w:sz w:val="28"/>
          <w:szCs w:val="28"/>
        </w:rPr>
        <w:t>лица 2).</w:t>
      </w:r>
    </w:p>
    <w:p w:rsidR="00ED4AF1" w:rsidRPr="006B5EDA" w:rsidRDefault="00ED4AF1" w:rsidP="00ED4AF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4AF1" w:rsidRPr="006B5EDA" w:rsidRDefault="00ED4AF1" w:rsidP="00ED4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EDA">
        <w:rPr>
          <w:rFonts w:ascii="Times New Roman" w:hAnsi="Times New Roman"/>
          <w:color w:val="000000" w:themeColor="text1"/>
          <w:sz w:val="28"/>
          <w:szCs w:val="28"/>
        </w:rPr>
        <w:t>Таблица 2 – Определяемые показатели, диапазон измерений, методы, нормативно-техническая документация (НТД)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0"/>
        <w:gridCol w:w="3794"/>
      </w:tblGrid>
      <w:tr w:rsidR="00ED4AF1" w:rsidRPr="006B5EDA" w:rsidTr="00AE6E29">
        <w:trPr>
          <w:cantSplit/>
          <w:tblHeader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Определяемый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модуля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Диапазон измерений, метод, НТД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Алюминий (Аl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«Алюминий»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0-0,5-2,0-6,0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0,05-1,0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МВИ-06-151-12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Аммоний (NH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«Аммоний, рН, Нитр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0-1,0-2,6-5,0-7,0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0,2-4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МВИ-04-148-10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Водородный показатель (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«Аммоний, рН, Нитр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4,5-5,0-5,5-6,0-6,5-7,0-8,0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8,5- 9,0-10,0-11,0 ед. рН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(ВК)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Водородный показатель (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рН-метр типа «рН-410»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0-12 ед. рН (ПМ)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Гидрокарбонат (HCO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«Карбонаты, щело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ность»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30-1200 мг/л (ТМ)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ПНД Ф14.1:2.245-07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Железо общее (сумма Fe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Fe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«Железо»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0-0,1-0,3-0,7-1,0-1,5мг/л (ВК)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0,05-2,0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МВИ-01-190-09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Кальций (Са</w:t>
            </w:r>
            <w:proofErr w:type="gram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ТК «Кальций»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2-500 мг/л (ТМ)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РД 52.24.403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ИСО 6058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Карбонат (CO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2–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«Карбонаты, щело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ность»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30-1200 мг/л (ТМ)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Марганец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ТК «Марганец»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0,5-10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0,1-5,0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МВИ-18-192-13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Медь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ТК «Медь»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1,0-10,0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0,05-2,0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МВИ-19-191-13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Мутность (прозрачность)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«Мутность»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60-1 см (по шрифту)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0,6-30,2 мг/л (по каолину)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1-52 ЕМФ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ГОСТ 3351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ИСО 7027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Нитрат (NO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«Нитраты»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0-1,0-5,0-10-20-45 мг/л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(ВК)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Нитрит (NO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«Аммоний, рН, Нитр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0-0,02-0,1-0,5-2,0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0,02-0,6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МВИ-10–149–10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жесткость (сумма э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вивалентов катионов Ca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Mg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«Общая жесткость»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0,5–10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ммоль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/л эквивалента (ТМ)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РД 52.24.395-2007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ИСО 6058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Сульфат (SO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2–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«Сульфаты»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30-300 мг/л (ТМ)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МВИ–15–142а–12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Фосфат-ион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(по РО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3-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«Фосфаты»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0-0,5-1,0-3,5-7,0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0,1-3,5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МВИ–05–240–10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Хлорид (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Cl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«Хлориды»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4-1200 мг/л (ТМ)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МВИ–02–144–09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Цветность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«Цветность»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0-30-100-300-1000 град.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(ВК,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пленочн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0-10-20-30-40-60-100-300-500 град.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цветн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(ВК,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хромкобальт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527-69-2007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20-200 град. </w:t>
            </w: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цветн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МВИ–10–157–13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Цинк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ТК «Цинк»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0,5-5,0 мг/л (ВК)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0,05-0,5 мг/л (ФК)</w:t>
            </w:r>
          </w:p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МВИ-20-193-13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Солесодержние</w:t>
            </w:r>
            <w:proofErr w:type="spellEnd"/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(по электр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проводности)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DIST 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0-10000 мг/л (КМ)</w:t>
            </w:r>
          </w:p>
        </w:tc>
      </w:tr>
      <w:tr w:rsidR="00ED4AF1" w:rsidRPr="006B5EDA" w:rsidTr="00AE6E29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Оптическая плотность проб при ФМ анализе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Фотоколориметр типа «Экотест-2020»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1" w:rsidRPr="006B5EDA" w:rsidRDefault="00ED4AF1" w:rsidP="00AE6E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E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МВИ</w:t>
            </w:r>
          </w:p>
        </w:tc>
      </w:tr>
    </w:tbl>
    <w:p w:rsidR="00ED4AF1" w:rsidRPr="006B5EDA" w:rsidRDefault="00ED4AF1" w:rsidP="00ED4AF1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>Сокращения в таблице: ВК – визуально-колориметрический, ТМ – титриметрический, ФК – фот</w:t>
      </w:r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>о</w:t>
      </w:r>
      <w:r w:rsidRPr="006B5EDA">
        <w:rPr>
          <w:rFonts w:ascii="Times New Roman" w:hAnsi="Times New Roman"/>
          <w:color w:val="000000" w:themeColor="text1"/>
          <w:spacing w:val="-4"/>
          <w:sz w:val="24"/>
          <w:szCs w:val="28"/>
        </w:rPr>
        <w:t>колориметрический, ПМ – потенциометрический, КМ – кондуктометрический.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Почвенная лаборатория STH-14 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Arial" w:hAnsi="Arial" w:cs="Arial"/>
          <w:color w:val="1D1D1D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Лаборатория STH создана специально для полевых условий. Все </w:t>
      </w:r>
      <w:r w:rsidRPr="006B5EDA">
        <w:rPr>
          <w:rFonts w:ascii="Times New Roman" w:hAnsi="Times New Roman" w:cs="Times New Roman"/>
          <w:sz w:val="28"/>
          <w:szCs w:val="28"/>
        </w:rPr>
        <w:lastRenderedPageBreak/>
        <w:t>приборы, материалы и реагенты прочно и надежно закреплены в ударопрочном кейсе. Ка</w:t>
      </w:r>
      <w:r w:rsidRPr="006B5EDA">
        <w:rPr>
          <w:rFonts w:ascii="Times New Roman" w:hAnsi="Times New Roman" w:cs="Times New Roman"/>
          <w:sz w:val="28"/>
          <w:szCs w:val="28"/>
        </w:rPr>
        <w:t>ж</w:t>
      </w:r>
      <w:r w:rsidRPr="006B5EDA">
        <w:rPr>
          <w:rFonts w:ascii="Times New Roman" w:hAnsi="Times New Roman" w:cs="Times New Roman"/>
          <w:sz w:val="28"/>
          <w:szCs w:val="28"/>
        </w:rPr>
        <w:t>дый комплект содержит упрощенные и полные инструкции по приготовлению образцов и проведению анализа, а также «Руководство по анализу почвы «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LaMotte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».</w:t>
      </w:r>
      <w:r w:rsidRPr="006B5EDA">
        <w:rPr>
          <w:rFonts w:ascii="Arial" w:hAnsi="Arial" w:cs="Arial"/>
          <w:color w:val="1D1D1D"/>
        </w:rPr>
        <w:t xml:space="preserve"> 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Для большинства анализов используется колориметрический метод. Опр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деление содержания кальция, сульфатов и хлоридов основаны на измерении му</w:t>
      </w:r>
      <w:r w:rsidRPr="006B5EDA">
        <w:rPr>
          <w:rFonts w:ascii="Times New Roman" w:hAnsi="Times New Roman" w:cs="Times New Roman"/>
          <w:sz w:val="28"/>
          <w:szCs w:val="28"/>
        </w:rPr>
        <w:t>т</w:t>
      </w:r>
      <w:r w:rsidRPr="006B5EDA">
        <w:rPr>
          <w:rFonts w:ascii="Times New Roman" w:hAnsi="Times New Roman" w:cs="Times New Roman"/>
          <w:sz w:val="28"/>
          <w:szCs w:val="28"/>
        </w:rPr>
        <w:t>ности раствора. Анализ калия также основан на измерении мутности, в ходе и</w:t>
      </w:r>
      <w:r w:rsidRPr="006B5EDA">
        <w:rPr>
          <w:rFonts w:ascii="Times New Roman" w:hAnsi="Times New Roman" w:cs="Times New Roman"/>
          <w:sz w:val="28"/>
          <w:szCs w:val="28"/>
        </w:rPr>
        <w:t>с</w:t>
      </w:r>
      <w:r w:rsidRPr="006B5EDA">
        <w:rPr>
          <w:rFonts w:ascii="Times New Roman" w:hAnsi="Times New Roman" w:cs="Times New Roman"/>
          <w:sz w:val="28"/>
          <w:szCs w:val="28"/>
        </w:rPr>
        <w:t>следования используется уникальное устройство, позволяющее получать резул</w:t>
      </w:r>
      <w:r w:rsidRPr="006B5EDA">
        <w:rPr>
          <w:rFonts w:ascii="Times New Roman" w:hAnsi="Times New Roman" w:cs="Times New Roman"/>
          <w:sz w:val="28"/>
          <w:szCs w:val="28"/>
        </w:rPr>
        <w:t>ь</w:t>
      </w:r>
      <w:r w:rsidRPr="006B5EDA">
        <w:rPr>
          <w:rFonts w:ascii="Times New Roman" w:hAnsi="Times New Roman" w:cs="Times New Roman"/>
          <w:sz w:val="28"/>
          <w:szCs w:val="28"/>
        </w:rPr>
        <w:t xml:space="preserve">таты непосредственно в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lbs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acre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(кг/га). Приготовив одну экстракцию можно пр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вести почти все испытания, за исключением определением хлоридов, для них тр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буется дистиллированная вода. При определении содержания органического в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щества используют пять цветовых стандартов для быстрого измерения содерж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ния гумуса в почве.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Лаборатория позволяет проводить: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почвенно-агрохимическое обследование сельскохозяйственных угодий,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научно-исследовательские работы по проблемам плодородия почв, прим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нения удобрений, охраны окружающей среды.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Почвенная лаборатория SCL-15 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Лаборатория обеспечивает точные исследования по 15 компонентам почвы, включая доступные формы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макропитательных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веществ и критических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микропит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веществ. Высококачественные реагенты и уникальные рецептуры, обе</w:t>
      </w:r>
      <w:r w:rsidRPr="006B5EDA">
        <w:rPr>
          <w:rFonts w:ascii="Times New Roman" w:hAnsi="Times New Roman" w:cs="Times New Roman"/>
          <w:sz w:val="28"/>
          <w:szCs w:val="28"/>
        </w:rPr>
        <w:t>с</w:t>
      </w:r>
      <w:r w:rsidRPr="006B5EDA">
        <w:rPr>
          <w:rFonts w:ascii="Times New Roman" w:hAnsi="Times New Roman" w:cs="Times New Roman"/>
          <w:sz w:val="28"/>
          <w:szCs w:val="28"/>
        </w:rPr>
        <w:t>печивают быстрый, простой и чрезвычайно точный анализ химических и физич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ских параметров почвы.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Лаборатория функциональной диагностики 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Способ диагностики потребности растений в минеральных элементах пит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ния, включающий листовую диагностику путем определения отклика в виде ра</w:t>
      </w:r>
      <w:r w:rsidRPr="006B5EDA">
        <w:rPr>
          <w:rFonts w:ascii="Times New Roman" w:hAnsi="Times New Roman" w:cs="Times New Roman"/>
          <w:sz w:val="28"/>
          <w:szCs w:val="28"/>
        </w:rPr>
        <w:t>з</w:t>
      </w:r>
      <w:r w:rsidRPr="006B5EDA">
        <w:rPr>
          <w:rFonts w:ascii="Times New Roman" w:hAnsi="Times New Roman" w:cs="Times New Roman"/>
          <w:sz w:val="28"/>
          <w:szCs w:val="28"/>
        </w:rPr>
        <w:t>ницы фотохимической активности суспензии хлоропластов из средней пробы свежих листьев при добавлении в неё диагностируемого элемента.</w:t>
      </w:r>
    </w:p>
    <w:p w:rsidR="00ED4AF1" w:rsidRPr="006B5EDA" w:rsidRDefault="00ED4AF1" w:rsidP="00ED4A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основного прибора, для анализа используется </w:t>
      </w:r>
      <w:r w:rsidRPr="006B5EDA">
        <w:rPr>
          <w:rFonts w:ascii="Times New Roman" w:hAnsi="Times New Roman" w:cs="Times New Roman"/>
          <w:bCs/>
          <w:sz w:val="28"/>
          <w:szCs w:val="28"/>
        </w:rPr>
        <w:t>Фотоколориметр «Экотест-2020»</w:t>
      </w:r>
      <w:r w:rsidRPr="006B5EDA">
        <w:rPr>
          <w:rFonts w:ascii="Times New Roman" w:hAnsi="Times New Roman" w:cs="Times New Roman"/>
          <w:sz w:val="28"/>
          <w:szCs w:val="28"/>
        </w:rPr>
        <w:t xml:space="preserve">, производства НПП «ЭКОНИКС» (Номер в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средств измерений РФ 31761-06), так же в состав лаборатории входят следующие ко</w:t>
      </w:r>
      <w:r w:rsidRPr="006B5EDA">
        <w:rPr>
          <w:rFonts w:ascii="Times New Roman" w:hAnsi="Times New Roman" w:cs="Times New Roman"/>
          <w:sz w:val="28"/>
          <w:szCs w:val="28"/>
        </w:rPr>
        <w:t>м</w:t>
      </w:r>
      <w:r w:rsidRPr="006B5EDA">
        <w:rPr>
          <w:rFonts w:ascii="Times New Roman" w:hAnsi="Times New Roman" w:cs="Times New Roman"/>
          <w:sz w:val="28"/>
          <w:szCs w:val="28"/>
        </w:rPr>
        <w:t>плектующие: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лабораторная посуда;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штативы;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светильник и реле времени;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дозаторы;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набор химреактивов с красителем;</w:t>
      </w:r>
    </w:p>
    <w:p w:rsidR="00ED4AF1" w:rsidRPr="006B5EDA" w:rsidRDefault="00ED4AF1" w:rsidP="00ED4A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упаковка (ящик пластиковый на колесиках);</w:t>
      </w:r>
    </w:p>
    <w:p w:rsidR="000D3B93" w:rsidRDefault="00ED4AF1" w:rsidP="00ED4AF1">
      <w:r w:rsidRPr="006B5EDA">
        <w:rPr>
          <w:rFonts w:ascii="Times New Roman" w:hAnsi="Times New Roman" w:cs="Times New Roman"/>
          <w:sz w:val="28"/>
          <w:szCs w:val="28"/>
        </w:rPr>
        <w:t>руководство по выполнению анализов ФЭД с примерами расчета.</w:t>
      </w:r>
      <w:bookmarkStart w:id="0" w:name="_GoBack"/>
      <w:bookmarkEnd w:id="0"/>
    </w:p>
    <w:sectPr w:rsidR="000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425"/>
    <w:multiLevelType w:val="hybridMultilevel"/>
    <w:tmpl w:val="F1FCD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092E"/>
    <w:multiLevelType w:val="hybridMultilevel"/>
    <w:tmpl w:val="E5D24CC8"/>
    <w:lvl w:ilvl="0" w:tplc="00B4547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D16"/>
    <w:multiLevelType w:val="hybridMultilevel"/>
    <w:tmpl w:val="DE66B2C2"/>
    <w:lvl w:ilvl="0" w:tplc="E3864ED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9C4"/>
    <w:multiLevelType w:val="hybridMultilevel"/>
    <w:tmpl w:val="0DDC00D8"/>
    <w:lvl w:ilvl="0" w:tplc="A8600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D0DE1"/>
    <w:multiLevelType w:val="multilevel"/>
    <w:tmpl w:val="E8A801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Restart w:val="1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9A3FDB"/>
    <w:multiLevelType w:val="hybridMultilevel"/>
    <w:tmpl w:val="E0EC7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93"/>
    <w:rsid w:val="000D3B93"/>
    <w:rsid w:val="00E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F1"/>
    <w:pPr>
      <w:ind w:left="720"/>
      <w:contextualSpacing/>
    </w:pPr>
  </w:style>
  <w:style w:type="paragraph" w:styleId="a4">
    <w:name w:val="Body Text"/>
    <w:basedOn w:val="a"/>
    <w:link w:val="a5"/>
    <w:rsid w:val="00ED4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ED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F1"/>
    <w:pPr>
      <w:ind w:left="720"/>
      <w:contextualSpacing/>
    </w:pPr>
  </w:style>
  <w:style w:type="paragraph" w:styleId="a4">
    <w:name w:val="Body Text"/>
    <w:basedOn w:val="a"/>
    <w:link w:val="a5"/>
    <w:rsid w:val="00ED4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ED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9.jpe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Истомин</dc:creator>
  <cp:keywords/>
  <dc:description/>
  <cp:lastModifiedBy>Сергей Истомин</cp:lastModifiedBy>
  <cp:revision>2</cp:revision>
  <dcterms:created xsi:type="dcterms:W3CDTF">2024-02-28T05:29:00Z</dcterms:created>
  <dcterms:modified xsi:type="dcterms:W3CDTF">2024-02-28T05:29:00Z</dcterms:modified>
</cp:coreProperties>
</file>